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56E939CC" w14:textId="4CC9AE0B" w:rsidR="001166B5" w:rsidRDefault="0015507D" w:rsidP="00276401">
      <w:pPr>
        <w:spacing w:after="0"/>
        <w:ind w:right="-993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6E939CD" w14:textId="58385F95" w:rsidR="007A4430" w:rsidRDefault="007A4430" w:rsidP="00276401">
      <w:pPr>
        <w:spacing w:after="0"/>
        <w:ind w:right="-992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05B7CC3F" w14:textId="77777777" w:rsidR="00594E92" w:rsidRDefault="00594E92" w:rsidP="00276401">
      <w:pPr>
        <w:spacing w:after="0"/>
        <w:ind w:right="-992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614DC4EC" w14:textId="77777777" w:rsidR="0084131B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="0084131B">
        <w:rPr>
          <w:rFonts w:ascii="Verdana" w:hAnsi="Verdana" w:cs="Calibri"/>
          <w:lang w:val="en-GB"/>
        </w:rPr>
        <w:t>……………………………………</w:t>
      </w:r>
      <w:proofErr w:type="gramStart"/>
      <w:r w:rsidR="0084131B">
        <w:rPr>
          <w:rFonts w:ascii="Verdana" w:hAnsi="Verdana" w:cs="Calibri"/>
          <w:lang w:val="en-GB"/>
        </w:rPr>
        <w:t>….</w:t>
      </w:r>
      <w:r w:rsidRPr="00490F95">
        <w:rPr>
          <w:rFonts w:ascii="Verdana" w:hAnsi="Verdana" w:cs="Calibri"/>
          <w:i/>
          <w:lang w:val="en-GB"/>
        </w:rPr>
        <w:t>[</w:t>
      </w:r>
      <w:proofErr w:type="gramEnd"/>
      <w:r w:rsidRPr="00490F95">
        <w:rPr>
          <w:rFonts w:ascii="Verdana" w:hAnsi="Verdana" w:cs="Calibri"/>
          <w:i/>
          <w:lang w:val="en-GB"/>
        </w:rPr>
        <w:t>day/month/year]</w:t>
      </w:r>
      <w:r w:rsidRPr="00490F95">
        <w:rPr>
          <w:rFonts w:ascii="Verdana" w:hAnsi="Verdana" w:cs="Calibri"/>
          <w:lang w:val="en-GB"/>
        </w:rPr>
        <w:tab/>
      </w:r>
    </w:p>
    <w:p w14:paraId="2A068534" w14:textId="3392393A" w:rsidR="00252D45" w:rsidRPr="00490F95" w:rsidRDefault="0084131B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T</w:t>
      </w:r>
      <w:r w:rsidR="00252D45" w:rsidRPr="00490F95">
        <w:rPr>
          <w:rFonts w:ascii="Verdana" w:hAnsi="Verdana" w:cs="Calibri"/>
          <w:lang w:val="en-GB"/>
        </w:rPr>
        <w:t>ill</w:t>
      </w:r>
      <w:r>
        <w:rPr>
          <w:rFonts w:ascii="Verdana" w:hAnsi="Verdana" w:cs="Calibri"/>
          <w:lang w:val="en-GB"/>
        </w:rPr>
        <w:t xml:space="preserve"> ………………………………….</w:t>
      </w:r>
      <w:r w:rsidR="00252D45" w:rsidRPr="00490F95">
        <w:rPr>
          <w:rFonts w:ascii="Verdana" w:hAnsi="Verdana" w:cs="Calibri"/>
          <w:lang w:val="en-GB"/>
        </w:rPr>
        <w:t xml:space="preserve"> </w:t>
      </w:r>
      <w:r w:rsidR="00252D45"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</w:t>
            </w:r>
            <w:proofErr w:type="gramEnd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Odwoanieprzypisukocowego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28"/>
        <w:gridCol w:w="2726"/>
        <w:gridCol w:w="1984"/>
        <w:gridCol w:w="2835"/>
      </w:tblGrid>
      <w:tr w:rsidR="00116FBB" w:rsidRPr="009F5B61" w14:paraId="56E939EA" w14:textId="77777777" w:rsidTr="00594E92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545" w:type="dxa"/>
            <w:gridSpan w:val="3"/>
            <w:shd w:val="clear" w:color="auto" w:fill="FFFFFF"/>
          </w:tcPr>
          <w:p w14:paraId="56E939E9" w14:textId="38DB17C6" w:rsidR="00116FBB" w:rsidRPr="005E466D" w:rsidRDefault="00594E92" w:rsidP="00262C3E">
            <w:pPr>
              <w:shd w:val="clear" w:color="auto" w:fill="FFFFFF"/>
              <w:tabs>
                <w:tab w:val="left" w:pos="570"/>
              </w:tabs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Maj Institute of Pharmacology, Polish Academy of Sciences</w:t>
            </w:r>
          </w:p>
        </w:tc>
      </w:tr>
      <w:tr w:rsidR="007967A9" w:rsidRPr="005E466D" w14:paraId="56E939F1" w14:textId="77777777" w:rsidTr="00594E92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726" w:type="dxa"/>
            <w:shd w:val="clear" w:color="auto" w:fill="FFFFFF"/>
          </w:tcPr>
          <w:p w14:paraId="56E939EE" w14:textId="300D8C88" w:rsidR="007967A9" w:rsidRPr="005E466D" w:rsidRDefault="00276401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KRAKOW 29</w:t>
            </w:r>
          </w:p>
        </w:tc>
        <w:tc>
          <w:tcPr>
            <w:tcW w:w="1984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835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594E92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726" w:type="dxa"/>
            <w:shd w:val="clear" w:color="auto" w:fill="FFFFFF"/>
          </w:tcPr>
          <w:p w14:paraId="1A65A658" w14:textId="77777777" w:rsidR="00262C3E" w:rsidRDefault="00594E92" w:rsidP="0027640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Smetna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12</w:t>
            </w:r>
          </w:p>
          <w:p w14:paraId="56E939F3" w14:textId="2073B665" w:rsidR="00594E92" w:rsidRPr="005E466D" w:rsidRDefault="00594E92" w:rsidP="0027640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31-343 Krakow</w:t>
            </w:r>
          </w:p>
        </w:tc>
        <w:tc>
          <w:tcPr>
            <w:tcW w:w="1984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835" w:type="dxa"/>
            <w:shd w:val="clear" w:color="auto" w:fill="FFFFFF"/>
          </w:tcPr>
          <w:p w14:paraId="56E939F5" w14:textId="79D8CB47" w:rsidR="007967A9" w:rsidRPr="005E466D" w:rsidRDefault="00262C3E" w:rsidP="00262C3E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Poland, PL  </w:t>
            </w:r>
          </w:p>
        </w:tc>
      </w:tr>
      <w:tr w:rsidR="007967A9" w:rsidRPr="005E466D" w14:paraId="56E939FC" w14:textId="77777777" w:rsidTr="00594E92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1A9B8FE0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726" w:type="dxa"/>
            <w:shd w:val="clear" w:color="auto" w:fill="FFFFFF"/>
          </w:tcPr>
          <w:p w14:paraId="0FE0191C" w14:textId="3D58A154" w:rsidR="003A38C6" w:rsidRDefault="000E1CB9" w:rsidP="003A38C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Przemysław Danek</w:t>
            </w:r>
            <w:r w:rsidR="00276401">
              <w:rPr>
                <w:rFonts w:ascii="Verdana" w:hAnsi="Verdana" w:cs="Arial"/>
                <w:color w:val="002060"/>
                <w:sz w:val="20"/>
                <w:lang w:val="en-GB"/>
              </w:rPr>
              <w:t>, PhD</w:t>
            </w:r>
          </w:p>
          <w:p w14:paraId="052227CA" w14:textId="77777777" w:rsidR="003A38C6" w:rsidRDefault="003A38C6" w:rsidP="00594E9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Institutional Erasmus</w:t>
            </w:r>
          </w:p>
          <w:p w14:paraId="56E939F8" w14:textId="2FBD1D0C" w:rsidR="003A38C6" w:rsidRPr="005E466D" w:rsidRDefault="003A38C6" w:rsidP="00594E9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Coordinator</w:t>
            </w:r>
          </w:p>
        </w:tc>
        <w:tc>
          <w:tcPr>
            <w:tcW w:w="1984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835" w:type="dxa"/>
            <w:shd w:val="clear" w:color="auto" w:fill="FFFFFF"/>
          </w:tcPr>
          <w:p w14:paraId="56E939FB" w14:textId="555FE708" w:rsidR="007967A9" w:rsidRPr="003A38C6" w:rsidRDefault="000E1CB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danek</w:t>
            </w:r>
            <w:r w:rsidR="00276401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@if-pan.krakow.pl</w:t>
            </w:r>
          </w:p>
        </w:tc>
      </w:tr>
      <w:tr w:rsidR="00F8532D" w:rsidRPr="005F0E76" w14:paraId="56E93A03" w14:textId="77777777" w:rsidTr="00594E92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0A5D1361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726" w:type="dxa"/>
            <w:shd w:val="clear" w:color="auto" w:fill="FFFFFF"/>
          </w:tcPr>
          <w:p w14:paraId="5EEBB459" w14:textId="5D56B9E3" w:rsidR="003A38C6" w:rsidRPr="000E1CB9" w:rsidRDefault="000E1CB9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E1CB9">
              <w:rPr>
                <w:rFonts w:ascii="Verdana" w:hAnsi="Verdana" w:cs="Arial"/>
                <w:color w:val="002060"/>
                <w:sz w:val="20"/>
                <w:lang w:val="en-GB"/>
              </w:rPr>
              <w:t>85.4</w:t>
            </w:r>
            <w:r w:rsidR="003A38C6" w:rsidRPr="000E1CB9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: Higher </w:t>
            </w:r>
          </w:p>
          <w:p w14:paraId="56E93A00" w14:textId="13729C91" w:rsidR="00F8532D" w:rsidRPr="00276401" w:rsidRDefault="003A38C6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  <w:r w:rsidRPr="000E1CB9">
              <w:rPr>
                <w:rFonts w:ascii="Verdana" w:hAnsi="Verdana" w:cs="Arial"/>
                <w:color w:val="002060"/>
                <w:sz w:val="20"/>
                <w:lang w:val="en-GB"/>
              </w:rPr>
              <w:t>education</w:t>
            </w:r>
          </w:p>
        </w:tc>
        <w:tc>
          <w:tcPr>
            <w:tcW w:w="1984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835" w:type="dxa"/>
            <w:shd w:val="clear" w:color="auto" w:fill="FFFFFF"/>
          </w:tcPr>
          <w:p w14:paraId="7F97F706" w14:textId="5E1B8487" w:rsidR="006F285A" w:rsidRDefault="00D56963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293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D56963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45F2DB94" w14:textId="77777777" w:rsidR="0078356D" w:rsidRDefault="0078356D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41289109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sending 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lastRenderedPageBreak/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4131B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440" w:right="567" w:bottom="1440" w:left="1077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C50E6" w14:textId="77777777" w:rsidR="00D56963" w:rsidRDefault="00D56963">
      <w:r>
        <w:separator/>
      </w:r>
    </w:p>
  </w:endnote>
  <w:endnote w:type="continuationSeparator" w:id="0">
    <w:p w14:paraId="05D0E2D0" w14:textId="77777777" w:rsidR="00D56963" w:rsidRDefault="00D56963">
      <w:r>
        <w:continuationSeparator/>
      </w:r>
    </w:p>
  </w:endnote>
  <w:endnote w:id="1">
    <w:p w14:paraId="7026ACEB" w14:textId="081FED46" w:rsidR="00252D45" w:rsidRPr="00B223B0" w:rsidRDefault="00252D45" w:rsidP="00B223B0">
      <w:pPr>
        <w:pStyle w:val="Tekstprzypisukocowego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6E93A66" w14:textId="6C4DC342" w:rsidR="007967A9" w:rsidRPr="00B223B0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Odwoanieprzypisukocowego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B223B0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Odwoanieprzypisukocowego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B223B0" w:rsidRDefault="009F5B61" w:rsidP="00B223B0">
      <w:pPr>
        <w:pStyle w:val="Tekstprzypisukocowego"/>
        <w:spacing w:after="100"/>
        <w:rPr>
          <w:sz w:val="16"/>
          <w:szCs w:val="16"/>
          <w:lang w:val="en-GB"/>
        </w:rPr>
      </w:pPr>
      <w:r w:rsidRPr="00B223B0">
        <w:rPr>
          <w:rStyle w:val="Odwoanieprzypisukocowego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B223B0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B223B0">
        <w:rPr>
          <w:rFonts w:ascii="Verdana" w:hAnsi="Verdana"/>
          <w:sz w:val="16"/>
          <w:szCs w:val="16"/>
          <w:lang w:val="en-GB"/>
        </w:rPr>
        <w:t xml:space="preserve">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B223B0" w:rsidRDefault="00A568F8" w:rsidP="00B223B0">
      <w:pPr>
        <w:pStyle w:val="Tekstprzypisukocowego"/>
        <w:spacing w:after="100"/>
        <w:rPr>
          <w:sz w:val="16"/>
          <w:szCs w:val="16"/>
          <w:lang w:val="en-GB"/>
        </w:rPr>
      </w:pPr>
      <w:r w:rsidRPr="00B223B0">
        <w:rPr>
          <w:rStyle w:val="Odwoanieprzypisukocowego"/>
          <w:rFonts w:ascii="Verdana" w:hAnsi="Verdana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B223B0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Odwoanieprzypisukocowego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F8532D" w:rsidRPr="00672D6F" w:rsidRDefault="00F8532D" w:rsidP="00276401">
      <w:pPr>
        <w:pStyle w:val="Tekstprzypisukocowego"/>
        <w:spacing w:after="100"/>
        <w:jc w:val="left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Odwoanieprzypisukocowego"/>
          <w:sz w:val="16"/>
          <w:szCs w:val="16"/>
        </w:rPr>
        <w:endnoteRef/>
      </w:r>
      <w:r w:rsidR="00F71F07"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B223B0">
        <w:rPr>
          <w:rFonts w:ascii="Verdana" w:hAnsi="Verdana"/>
          <w:sz w:val="16"/>
          <w:szCs w:val="16"/>
          <w:lang w:val="en-GB"/>
        </w:rPr>
        <w:t xml:space="preserve">are 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B223B0">
          <w:rPr>
            <w:rStyle w:val="Hipercze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Odwoanieprzypisukocowego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B223B0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Hipercz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Hipercze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3286834E" w:rsidR="00153B61" w:rsidRPr="004208DA" w:rsidRDefault="00153B61" w:rsidP="00B223B0">
      <w:pPr>
        <w:pStyle w:val="Tekstprzypisukocowego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Odwoanieprzypisukocowego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38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53203" w14:textId="77777777" w:rsidR="00D56963" w:rsidRDefault="00D56963">
      <w:r>
        <w:separator/>
      </w:r>
    </w:p>
  </w:footnote>
  <w:footnote w:type="continuationSeparator" w:id="0">
    <w:p w14:paraId="2A53CE3D" w14:textId="77777777" w:rsidR="00D56963" w:rsidRDefault="00D56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9" w14:textId="2EA8BD04" w:rsidR="00B6735A" w:rsidRPr="00B6735A" w:rsidRDefault="00AE59CE" w:rsidP="0084131B">
    <w:pPr>
      <w:tabs>
        <w:tab w:val="left" w:pos="7080"/>
      </w:tabs>
      <w:rPr>
        <w:rFonts w:ascii="Arial Narrow" w:hAnsi="Arial Narrow"/>
        <w:sz w:val="18"/>
        <w:szCs w:val="18"/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F8B204B" wp14:editId="5223B2C3">
          <wp:simplePos x="0" y="0"/>
          <wp:positionH relativeFrom="margin">
            <wp:posOffset>2315210</wp:posOffset>
          </wp:positionH>
          <wp:positionV relativeFrom="margin">
            <wp:posOffset>-756285</wp:posOffset>
          </wp:positionV>
          <wp:extent cx="2557780" cy="64770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60" t="24485" r="8876" b="22401"/>
                  <a:stretch/>
                </pic:blipFill>
                <pic:spPr bwMode="auto">
                  <a:xfrm>
                    <a:off x="0" y="0"/>
                    <a:ext cx="255778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59CE">
      <w:rPr>
        <w:rFonts w:ascii="Arial Narrow" w:hAnsi="Arial Narrow"/>
        <w:sz w:val="18"/>
        <w:szCs w:val="18"/>
        <w:lang w:val="en-GB"/>
      </w:rPr>
      <w:drawing>
        <wp:anchor distT="0" distB="0" distL="114300" distR="114300" simplePos="0" relativeHeight="251660288" behindDoc="1" locked="0" layoutInCell="1" allowOverlap="1" wp14:anchorId="1B6311A2" wp14:editId="267B261A">
          <wp:simplePos x="0" y="0"/>
          <wp:positionH relativeFrom="column">
            <wp:posOffset>-598170</wp:posOffset>
          </wp:positionH>
          <wp:positionV relativeFrom="paragraph">
            <wp:posOffset>-383540</wp:posOffset>
          </wp:positionV>
          <wp:extent cx="3143689" cy="714475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689" cy="71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4E92">
      <w:rPr>
        <w:rFonts w:ascii="Verdana" w:hAnsi="Verdana"/>
        <w:b/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93A62" wp14:editId="797DB44F">
              <wp:simplePos x="0" y="0"/>
              <wp:positionH relativeFrom="column">
                <wp:posOffset>4939665</wp:posOffset>
              </wp:positionH>
              <wp:positionV relativeFrom="paragraph">
                <wp:posOffset>-173355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1F6D51FB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  <w:r w:rsidR="0084131B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 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88.95pt;margin-top:-13.6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" filled="f" stroked="f">
              <v:textbox>
                <w:txbxContent>
                  <w:p w14:paraId="56E93A6D" w14:textId="77777777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56E93A6E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1F6D51FB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  <w:r w:rsidR="0084131B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 xml:space="preserve">  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4131B">
      <w:rPr>
        <w:rFonts w:ascii="Arial Narrow" w:hAnsi="Arial Narrow"/>
        <w:sz w:val="18"/>
        <w:szCs w:val="18"/>
        <w:lang w:val="en-GB"/>
      </w:rPr>
      <w:tab/>
    </w:r>
  </w:p>
  <w:p w14:paraId="56E93A5D" w14:textId="508A34A5" w:rsidR="00506408" w:rsidRPr="00B6735A" w:rsidRDefault="00506408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08D2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1CB9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C3E"/>
    <w:rsid w:val="00262F89"/>
    <w:rsid w:val="00266ED9"/>
    <w:rsid w:val="0026795B"/>
    <w:rsid w:val="00271299"/>
    <w:rsid w:val="00271FDB"/>
    <w:rsid w:val="00272732"/>
    <w:rsid w:val="00275E00"/>
    <w:rsid w:val="00276401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21B1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38C6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25D"/>
    <w:rsid w:val="003B6B9F"/>
    <w:rsid w:val="003B6EAA"/>
    <w:rsid w:val="003C0BCA"/>
    <w:rsid w:val="003C1440"/>
    <w:rsid w:val="003C2D83"/>
    <w:rsid w:val="003C3D1B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6293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30FE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58CC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3154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4E92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5FA8"/>
    <w:rsid w:val="00667705"/>
    <w:rsid w:val="006677CA"/>
    <w:rsid w:val="00672B32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1801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3842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56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31B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2B8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28A0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59CE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0C13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77A59"/>
    <w:rsid w:val="00C80044"/>
    <w:rsid w:val="00C807EB"/>
    <w:rsid w:val="00C80C0A"/>
    <w:rsid w:val="00C81F73"/>
    <w:rsid w:val="00C8235A"/>
    <w:rsid w:val="00C82E9B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963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27AE"/>
    <w:rsid w:val="00D839C4"/>
    <w:rsid w:val="00D83A5F"/>
    <w:rsid w:val="00D83C0C"/>
    <w:rsid w:val="00D85D46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12F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0701E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F4B"/>
    <w:rsid w:val="00F42090"/>
    <w:rsid w:val="00F45029"/>
    <w:rsid w:val="00F473A7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0819700D-51FC-46A4-BB64-0986881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5A6BDA-1027-4917-A514-31781DA8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12</TotalTime>
  <Pages>3</Pages>
  <Words>457</Words>
  <Characters>2745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3196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Przemek Danek</cp:lastModifiedBy>
  <cp:revision>8</cp:revision>
  <cp:lastPrinted>2015-11-03T09:58:00Z</cp:lastPrinted>
  <dcterms:created xsi:type="dcterms:W3CDTF">2019-08-20T04:43:00Z</dcterms:created>
  <dcterms:modified xsi:type="dcterms:W3CDTF">2025-08-22T14:10:00Z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